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DD3" w:rsidRDefault="00634DD3">
      <w:pPr>
        <w:jc w:val="center"/>
        <w:rPr>
          <w:rFonts w:ascii="黑体" w:eastAsia="黑体" w:hAnsi="宋体"/>
          <w:sz w:val="32"/>
          <w:szCs w:val="32"/>
        </w:rPr>
      </w:pPr>
      <w:bookmarkStart w:id="0" w:name="_GoBack"/>
      <w:bookmarkEnd w:id="0"/>
    </w:p>
    <w:p w:rsidR="00634DD3" w:rsidRDefault="00AD5673">
      <w:pPr>
        <w:jc w:val="center"/>
        <w:rPr>
          <w:rFonts w:ascii="黑体" w:eastAsia="黑体" w:hAnsi="宋体"/>
          <w:sz w:val="32"/>
          <w:szCs w:val="32"/>
        </w:rPr>
      </w:pPr>
      <w:r>
        <w:rPr>
          <w:rFonts w:ascii="黑体" w:eastAsia="黑体" w:hAnsi="宋体" w:hint="eastAsia"/>
          <w:sz w:val="32"/>
          <w:szCs w:val="32"/>
        </w:rPr>
        <w:t xml:space="preserve">《食品安全国家标准  </w:t>
      </w:r>
      <w:r>
        <w:rPr>
          <w:rFonts w:ascii="黑体" w:eastAsia="黑体" w:cs="黑体" w:hint="eastAsia"/>
          <w:kern w:val="0"/>
          <w:sz w:val="32"/>
          <w:szCs w:val="32"/>
        </w:rPr>
        <w:t>学生餐营养操作指南</w:t>
      </w:r>
      <w:r>
        <w:rPr>
          <w:rFonts w:ascii="黑体" w:eastAsia="黑体" w:hAnsi="宋体" w:hint="eastAsia"/>
          <w:sz w:val="32"/>
          <w:szCs w:val="32"/>
        </w:rPr>
        <w:t>》</w:t>
      </w:r>
    </w:p>
    <w:p w:rsidR="00634DD3" w:rsidRDefault="00AD5673">
      <w:pPr>
        <w:jc w:val="center"/>
        <w:rPr>
          <w:b/>
          <w:szCs w:val="21"/>
        </w:rPr>
      </w:pPr>
      <w:r>
        <w:rPr>
          <w:rFonts w:ascii="黑体" w:eastAsia="黑体" w:hAnsi="宋体" w:hint="eastAsia"/>
          <w:sz w:val="32"/>
          <w:szCs w:val="32"/>
        </w:rPr>
        <w:t>（征求意见</w:t>
      </w:r>
      <w:r>
        <w:rPr>
          <w:rFonts w:ascii="黑体" w:eastAsia="黑体" w:hAnsi="宋体"/>
          <w:sz w:val="32"/>
          <w:szCs w:val="32"/>
        </w:rPr>
        <w:t>稿</w:t>
      </w:r>
      <w:r>
        <w:rPr>
          <w:rFonts w:ascii="黑体" w:eastAsia="黑体" w:hAnsi="宋体" w:hint="eastAsia"/>
          <w:sz w:val="32"/>
          <w:szCs w:val="32"/>
        </w:rPr>
        <w:t>）编制说明</w:t>
      </w:r>
    </w:p>
    <w:p w:rsidR="00634DD3" w:rsidRDefault="00634DD3">
      <w:pPr>
        <w:spacing w:line="360" w:lineRule="auto"/>
        <w:ind w:firstLineChars="200" w:firstLine="640"/>
        <w:jc w:val="center"/>
        <w:rPr>
          <w:rFonts w:ascii="黑体" w:eastAsia="黑体" w:hAnsi="宋体"/>
          <w:sz w:val="32"/>
          <w:szCs w:val="32"/>
        </w:rPr>
      </w:pPr>
    </w:p>
    <w:p w:rsidR="00634DD3" w:rsidRDefault="00AD5673">
      <w:pPr>
        <w:spacing w:beforeLines="50" w:before="120" w:afterLines="50" w:after="120"/>
        <w:rPr>
          <w:rFonts w:ascii="黑体" w:eastAsia="黑体" w:hAnsi="Arial" w:cs="Arial"/>
          <w:szCs w:val="21"/>
        </w:rPr>
      </w:pPr>
      <w:r>
        <w:rPr>
          <w:rFonts w:ascii="黑体" w:eastAsia="黑体" w:hAnsi="Arial" w:cs="Arial" w:hint="eastAsia"/>
          <w:szCs w:val="21"/>
        </w:rPr>
        <w:t>一、标准起草的基本情况（包括简要的起草过程、主要起草单位、起草人等）</w:t>
      </w:r>
    </w:p>
    <w:p w:rsidR="00634DD3" w:rsidRDefault="00AD5673">
      <w:pPr>
        <w:widowControl/>
        <w:adjustRightInd w:val="0"/>
        <w:spacing w:line="360" w:lineRule="exact"/>
        <w:ind w:firstLineChars="200" w:firstLine="420"/>
        <w:textAlignment w:val="baseline"/>
        <w:rPr>
          <w:szCs w:val="21"/>
        </w:rPr>
      </w:pPr>
      <w:r>
        <w:rPr>
          <w:szCs w:val="21"/>
        </w:rPr>
        <w:t>《食品安全</w:t>
      </w:r>
      <w:r>
        <w:rPr>
          <w:rFonts w:hint="eastAsia"/>
          <w:szCs w:val="21"/>
        </w:rPr>
        <w:t>国家</w:t>
      </w:r>
      <w:r>
        <w:rPr>
          <w:szCs w:val="21"/>
        </w:rPr>
        <w:t>标准</w:t>
      </w:r>
      <w:r>
        <w:rPr>
          <w:rFonts w:hint="eastAsia"/>
          <w:szCs w:val="21"/>
        </w:rPr>
        <w:t xml:space="preserve"> </w:t>
      </w:r>
      <w:r>
        <w:rPr>
          <w:rFonts w:hint="eastAsia"/>
          <w:szCs w:val="21"/>
        </w:rPr>
        <w:t>学生餐营养操作指南</w:t>
      </w:r>
      <w:r>
        <w:rPr>
          <w:szCs w:val="21"/>
        </w:rPr>
        <w:t>》</w:t>
      </w:r>
      <w:r>
        <w:rPr>
          <w:rFonts w:hint="eastAsia"/>
          <w:szCs w:val="21"/>
        </w:rPr>
        <w:t>列入原国家卫生和计划生育委员会</w:t>
      </w:r>
      <w:r>
        <w:rPr>
          <w:rFonts w:hint="eastAsia"/>
          <w:szCs w:val="21"/>
        </w:rPr>
        <w:t>2016</w:t>
      </w:r>
      <w:r>
        <w:rPr>
          <w:rFonts w:hint="eastAsia"/>
          <w:szCs w:val="21"/>
        </w:rPr>
        <w:t>年度</w:t>
      </w:r>
      <w:r>
        <w:rPr>
          <w:rFonts w:hint="eastAsia"/>
          <w:szCs w:val="21"/>
        </w:rPr>
        <w:t xml:space="preserve"> </w:t>
      </w:r>
      <w:r>
        <w:rPr>
          <w:rFonts w:hint="eastAsia"/>
          <w:szCs w:val="21"/>
        </w:rPr>
        <w:t>食品安全国家标准项目计划，受原国家卫生和计划生育委员会食品安全标准与监测评估司</w:t>
      </w:r>
      <w:r>
        <w:rPr>
          <w:szCs w:val="21"/>
        </w:rPr>
        <w:t>（委托协议书项目编号</w:t>
      </w:r>
      <w:r>
        <w:rPr>
          <w:rFonts w:hint="eastAsia"/>
          <w:szCs w:val="21"/>
        </w:rPr>
        <w:t>：</w:t>
      </w:r>
      <w:r>
        <w:rPr>
          <w:rFonts w:hint="eastAsia"/>
          <w:szCs w:val="21"/>
        </w:rPr>
        <w:t>spaq-2016-126</w:t>
      </w:r>
      <w:r>
        <w:rPr>
          <w:szCs w:val="21"/>
        </w:rPr>
        <w:t>），</w:t>
      </w:r>
      <w:r>
        <w:rPr>
          <w:rFonts w:hint="eastAsia"/>
          <w:szCs w:val="21"/>
        </w:rPr>
        <w:t>由中国学生营养与</w:t>
      </w:r>
      <w:proofErr w:type="gramStart"/>
      <w:r>
        <w:rPr>
          <w:rFonts w:hint="eastAsia"/>
          <w:szCs w:val="21"/>
        </w:rPr>
        <w:t>健康促进会</w:t>
      </w:r>
      <w:proofErr w:type="gramEnd"/>
      <w:r>
        <w:rPr>
          <w:rFonts w:hint="eastAsia"/>
          <w:szCs w:val="21"/>
        </w:rPr>
        <w:t>与北京市疾病预防控制中心作为承担单位负责组织该标准的制定工作。</w:t>
      </w:r>
    </w:p>
    <w:p w:rsidR="00634DD3" w:rsidRDefault="00AD5673">
      <w:pPr>
        <w:widowControl/>
        <w:adjustRightInd w:val="0"/>
        <w:spacing w:line="360" w:lineRule="exact"/>
        <w:ind w:firstLineChars="200" w:firstLine="420"/>
        <w:textAlignment w:val="baseline"/>
        <w:rPr>
          <w:szCs w:val="21"/>
        </w:rPr>
      </w:pPr>
      <w:r>
        <w:rPr>
          <w:rFonts w:hint="eastAsia"/>
          <w:szCs w:val="21"/>
        </w:rPr>
        <w:t>主要起草人：</w:t>
      </w:r>
      <w:r>
        <w:rPr>
          <w:rFonts w:hint="eastAsia"/>
        </w:rPr>
        <w:t>陈永祥、赵耀、韩军花、张炎、喻颖杰、常素英、孟祥忍、张倩、邓瑛、孟文瑞、杨博、李颖</w:t>
      </w:r>
      <w:r>
        <w:rPr>
          <w:rFonts w:hint="eastAsia"/>
          <w:szCs w:val="21"/>
        </w:rPr>
        <w:t>。起草工作组首先查阅与学生餐营养操作要求相关的国内外法律法规规章、标准和技术规范等资料，在参照国内外标准的基础上，广泛调研全国各主要地区学校自办食堂、供餐企业的生产现状，形成了标准草案。之后，标准工作协作组组织了学校、教育部门、行业协会、企业、食品监管机构等各类专家学者对标准草案进行了多次研讨，同时经认真研究分析，最终完成了标准文本及编制说明的征求意见稿。</w:t>
      </w:r>
    </w:p>
    <w:p w:rsidR="00634DD3" w:rsidRDefault="00634DD3">
      <w:pPr>
        <w:spacing w:beforeLines="50" w:before="120" w:afterLines="50" w:after="120"/>
        <w:rPr>
          <w:rFonts w:ascii="黑体" w:eastAsia="黑体" w:hAnsi="宋体" w:cs="Arial"/>
          <w:szCs w:val="21"/>
        </w:rPr>
      </w:pPr>
    </w:p>
    <w:p w:rsidR="00634DD3" w:rsidRDefault="00AD5673">
      <w:pPr>
        <w:spacing w:beforeLines="50" w:before="120" w:afterLines="50" w:after="120"/>
        <w:rPr>
          <w:rFonts w:ascii="黑体" w:eastAsia="黑体" w:hAnsi="Arial" w:cs="Arial"/>
          <w:szCs w:val="21"/>
        </w:rPr>
      </w:pPr>
      <w:r>
        <w:rPr>
          <w:rFonts w:ascii="黑体" w:eastAsia="黑体" w:hAnsi="宋体" w:cs="Arial" w:hint="eastAsia"/>
          <w:szCs w:val="21"/>
        </w:rPr>
        <w:t>二、</w:t>
      </w:r>
      <w:r>
        <w:rPr>
          <w:rFonts w:ascii="黑体" w:eastAsia="黑体" w:hAnsi="Arial" w:cs="Arial" w:hint="eastAsia"/>
          <w:szCs w:val="21"/>
        </w:rPr>
        <w:t>标准的重要内容及主要修改情况</w:t>
      </w:r>
    </w:p>
    <w:p w:rsidR="00634DD3" w:rsidRDefault="00AD5673">
      <w:pPr>
        <w:spacing w:line="360" w:lineRule="exact"/>
        <w:ind w:firstLineChars="200" w:firstLine="420"/>
        <w:rPr>
          <w:rFonts w:ascii="黑体" w:eastAsia="黑体" w:hAnsi="宋体" w:cs="Arial"/>
          <w:szCs w:val="21"/>
        </w:rPr>
      </w:pPr>
      <w:r>
        <w:rPr>
          <w:rFonts w:hint="eastAsia"/>
        </w:rPr>
        <w:t>本标准</w:t>
      </w:r>
      <w:r>
        <w:rPr>
          <w:rFonts w:ascii="宋体" w:hAnsi="宋体" w:hint="eastAsia"/>
          <w:szCs w:val="21"/>
        </w:rPr>
        <w:t>根据学生餐工艺特点，规定了学生餐生产过程的营养操作要求，对学生餐营养操作的术语和定义、基本要求、营养操作要求、课间餐、成品品种核对、引导学生科学就餐等方面，提出了具体细化的要求。标准</w:t>
      </w:r>
      <w:r>
        <w:rPr>
          <w:rFonts w:ascii="宋体" w:hAnsi="宋体"/>
          <w:szCs w:val="21"/>
        </w:rPr>
        <w:t>的</w:t>
      </w:r>
      <w:r>
        <w:rPr>
          <w:rFonts w:ascii="宋体" w:hAnsi="宋体" w:hint="eastAsia"/>
          <w:szCs w:val="21"/>
        </w:rPr>
        <w:t>制定</w:t>
      </w:r>
      <w:r>
        <w:rPr>
          <w:rFonts w:ascii="宋体" w:hAnsi="宋体"/>
          <w:szCs w:val="21"/>
        </w:rPr>
        <w:t>以《食品安全法》，</w:t>
      </w:r>
      <w:r>
        <w:rPr>
          <w:rFonts w:ascii="宋体" w:hAnsi="宋体" w:hint="eastAsia"/>
          <w:szCs w:val="21"/>
        </w:rPr>
        <w:t>《中华人民共和国标准化法》等法律法规</w:t>
      </w:r>
      <w:r>
        <w:rPr>
          <w:rFonts w:ascii="宋体" w:hAnsi="宋体"/>
          <w:szCs w:val="21"/>
        </w:rPr>
        <w:t>为主要依据</w:t>
      </w:r>
      <w:r>
        <w:rPr>
          <w:rFonts w:ascii="宋体" w:hAnsi="宋体" w:hint="eastAsia"/>
          <w:szCs w:val="21"/>
        </w:rPr>
        <w:t>，</w:t>
      </w:r>
      <w:r>
        <w:rPr>
          <w:rFonts w:ascii="宋体" w:hAnsi="宋体"/>
          <w:szCs w:val="21"/>
        </w:rPr>
        <w:t>充分考虑</w:t>
      </w:r>
      <w:r>
        <w:rPr>
          <w:rFonts w:ascii="宋体" w:hAnsi="宋体" w:hint="eastAsia"/>
          <w:szCs w:val="21"/>
        </w:rPr>
        <w:t>全国学生餐营养操作</w:t>
      </w:r>
      <w:r>
        <w:rPr>
          <w:rFonts w:ascii="宋体" w:hAnsi="宋体"/>
          <w:szCs w:val="21"/>
        </w:rPr>
        <w:t>水平和客观实际的需要</w:t>
      </w:r>
      <w:r>
        <w:rPr>
          <w:rFonts w:ascii="宋体" w:hAnsi="宋体" w:hint="eastAsia"/>
          <w:szCs w:val="21"/>
        </w:rPr>
        <w:t>，</w:t>
      </w:r>
      <w:r>
        <w:rPr>
          <w:rFonts w:ascii="宋体" w:hAnsi="宋体"/>
          <w:szCs w:val="21"/>
        </w:rPr>
        <w:t>参照相关的国际</w:t>
      </w:r>
      <w:r>
        <w:rPr>
          <w:rFonts w:ascii="宋体" w:hAnsi="宋体" w:hint="eastAsia"/>
          <w:szCs w:val="21"/>
        </w:rPr>
        <w:t>文献资料</w:t>
      </w:r>
      <w:r>
        <w:rPr>
          <w:rFonts w:ascii="宋体" w:hAnsi="宋体"/>
          <w:szCs w:val="21"/>
        </w:rPr>
        <w:t>和国内各类标准</w:t>
      </w:r>
      <w:r>
        <w:rPr>
          <w:rFonts w:ascii="宋体" w:hAnsi="宋体" w:hint="eastAsia"/>
          <w:szCs w:val="21"/>
        </w:rPr>
        <w:t>、规范，围绕学生</w:t>
      </w:r>
      <w:proofErr w:type="gramStart"/>
      <w:r>
        <w:rPr>
          <w:rFonts w:ascii="宋体" w:hAnsi="宋体" w:hint="eastAsia"/>
          <w:szCs w:val="21"/>
        </w:rPr>
        <w:t>餐操作</w:t>
      </w:r>
      <w:proofErr w:type="gramEnd"/>
      <w:r>
        <w:rPr>
          <w:rFonts w:ascii="宋体" w:hAnsi="宋体" w:hint="eastAsia"/>
          <w:szCs w:val="21"/>
        </w:rPr>
        <w:t>中提升营养的需求，主要规定了：学生餐、食谱、带量食谱、课间餐的定义。明确了学生餐营养操作的基本要求，</w:t>
      </w:r>
      <w:r>
        <w:rPr>
          <w:rFonts w:hint="eastAsia"/>
          <w:szCs w:val="21"/>
        </w:rPr>
        <w:t>要求学校及供餐单位建立学生餐营养质量管理小组，并负责制定带量食谱，学生餐营养质量管理小组必须配备专职或兼职的营养师（技师）或营养指导人员，负责学生餐质量管理具体工作的落实实施，还要求营养师（技师）或营养指导人员必须提升自己的营养相关工作水平，必须接受营养知识技能的培训</w:t>
      </w:r>
      <w:r>
        <w:rPr>
          <w:rFonts w:ascii="宋体" w:hAnsi="宋体" w:hint="eastAsia"/>
          <w:szCs w:val="21"/>
        </w:rPr>
        <w:t>；本标准制定了操作过程中带量食谱要求即</w:t>
      </w:r>
      <w:r>
        <w:rPr>
          <w:rFonts w:hint="eastAsia"/>
          <w:szCs w:val="21"/>
        </w:rPr>
        <w:t>食物多样是合理膳食的基础，主副搭配、荤素搭配、粗细搭配、干稀搭配是其实现途径和操作原则</w:t>
      </w:r>
      <w:r>
        <w:rPr>
          <w:rFonts w:ascii="宋体" w:hAnsi="宋体" w:hint="eastAsia"/>
          <w:szCs w:val="21"/>
        </w:rPr>
        <w:t>，要求具体包括食物类别及</w:t>
      </w:r>
      <w:r>
        <w:rPr>
          <w:rFonts w:ascii="宋体" w:hAnsi="宋体"/>
          <w:szCs w:val="21"/>
        </w:rPr>
        <w:t>重</w:t>
      </w:r>
      <w:r>
        <w:rPr>
          <w:rFonts w:ascii="宋体" w:hAnsi="宋体" w:hint="eastAsia"/>
          <w:szCs w:val="21"/>
        </w:rPr>
        <w:t>量要求、能量和营养素要求；本标准参考《中国学龄膳食指南（2016）》、WS/T554-2017《学生餐营养指南》等，结合调研实际情况，规定了每周应提供的食物类别和品种要求；本标准</w:t>
      </w:r>
      <w:r>
        <w:rPr>
          <w:rFonts w:hint="eastAsia"/>
          <w:szCs w:val="21"/>
        </w:rPr>
        <w:t>为了减少食物中营养素的损失规定了科学合理、健康有益的</w:t>
      </w:r>
      <w:r>
        <w:rPr>
          <w:rFonts w:ascii="宋体" w:hAnsi="宋体" w:hint="eastAsia"/>
          <w:szCs w:val="21"/>
        </w:rPr>
        <w:t>原料</w:t>
      </w:r>
      <w:r>
        <w:rPr>
          <w:rFonts w:hint="eastAsia"/>
          <w:szCs w:val="21"/>
        </w:rPr>
        <w:t>预处理方式；</w:t>
      </w:r>
      <w:r>
        <w:rPr>
          <w:rFonts w:ascii="宋体" w:hAnsi="宋体" w:hint="eastAsia"/>
          <w:szCs w:val="21"/>
        </w:rPr>
        <w:t>本标准</w:t>
      </w:r>
      <w:r>
        <w:rPr>
          <w:rFonts w:hint="eastAsia"/>
          <w:szCs w:val="21"/>
        </w:rPr>
        <w:t>考虑到各类食物原料特性而对营养素的保护、适应学生的消化吸收能力提出</w:t>
      </w:r>
      <w:r>
        <w:rPr>
          <w:rFonts w:ascii="宋体" w:hAnsi="宋体" w:hint="eastAsia"/>
          <w:szCs w:val="21"/>
        </w:rPr>
        <w:t>烹饪过程的营养操作内容。</w:t>
      </w:r>
      <w:r>
        <w:rPr>
          <w:rFonts w:hint="eastAsia"/>
          <w:szCs w:val="21"/>
        </w:rPr>
        <w:t>征求意见阶段标准工作协作组对标准实施后的使用机构广泛地开展了意见征询工作，具体包括国家教委、国家食品药品监管总局的主管部门、行业协会、全国</w:t>
      </w:r>
      <w:proofErr w:type="gramStart"/>
      <w:r>
        <w:rPr>
          <w:rFonts w:hint="eastAsia"/>
          <w:szCs w:val="21"/>
        </w:rPr>
        <w:t>个</w:t>
      </w:r>
      <w:proofErr w:type="gramEnd"/>
      <w:r>
        <w:rPr>
          <w:rFonts w:hint="eastAsia"/>
          <w:szCs w:val="21"/>
        </w:rPr>
        <w:t>主要地区（特别是经济欠发达地区）的供餐企业和学校自办食堂，以及学生营养有关的科研部门包括中国疾病预防控制中心营养与健康所、北京大学等，</w:t>
      </w:r>
      <w:r>
        <w:rPr>
          <w:rFonts w:ascii="宋体" w:hAnsi="宋体" w:hint="eastAsia"/>
          <w:szCs w:val="21"/>
        </w:rPr>
        <w:t>使本标准具有一定的先进性、通用性、科学性</w:t>
      </w:r>
      <w:r>
        <w:rPr>
          <w:rFonts w:ascii="宋体" w:hAnsi="宋体" w:hint="eastAsia"/>
          <w:szCs w:val="21"/>
        </w:rPr>
        <w:lastRenderedPageBreak/>
        <w:t>和可操作性</w:t>
      </w:r>
      <w:r>
        <w:rPr>
          <w:rFonts w:ascii="宋体" w:hAnsi="宋体"/>
          <w:szCs w:val="21"/>
        </w:rPr>
        <w:t>。</w:t>
      </w:r>
    </w:p>
    <w:p w:rsidR="00634DD3" w:rsidRDefault="00AD5673">
      <w:pPr>
        <w:spacing w:beforeLines="50" w:before="120" w:afterLines="50" w:after="120"/>
        <w:rPr>
          <w:rFonts w:ascii="黑体" w:eastAsia="黑体" w:hAnsi="宋体" w:cs="Arial"/>
          <w:szCs w:val="21"/>
        </w:rPr>
      </w:pPr>
      <w:r>
        <w:rPr>
          <w:rFonts w:ascii="黑体" w:eastAsia="黑体" w:hAnsi="宋体" w:cs="Arial" w:hint="eastAsia"/>
          <w:szCs w:val="21"/>
        </w:rPr>
        <w:t>三、国内国际相关标准情况</w:t>
      </w:r>
    </w:p>
    <w:p w:rsidR="00634DD3" w:rsidRDefault="00AD5673">
      <w:pPr>
        <w:widowControl/>
        <w:adjustRightInd w:val="0"/>
        <w:spacing w:line="360" w:lineRule="exact"/>
        <w:ind w:firstLineChars="200" w:firstLine="420"/>
        <w:textAlignment w:val="baseline"/>
        <w:rPr>
          <w:szCs w:val="21"/>
        </w:rPr>
      </w:pPr>
      <w:r>
        <w:rPr>
          <w:rFonts w:hint="eastAsia"/>
          <w:szCs w:val="21"/>
        </w:rPr>
        <w:t>我国现有的《中华人民共和国食品安全法》、《学生集体用餐卫生监督办法》、《学生营养餐生产企业卫生规范》、《学生食堂及学生集体用餐管理办法》、《餐饮业和集体用餐配送单位卫生规范》、《餐饮服务食品安全操作规范》、</w:t>
      </w:r>
      <w:r>
        <w:rPr>
          <w:rFonts w:hint="eastAsia"/>
        </w:rPr>
        <w:t>WS/T 554-2017</w:t>
      </w:r>
      <w:r>
        <w:rPr>
          <w:rFonts w:hint="eastAsia"/>
          <w:szCs w:val="21"/>
        </w:rPr>
        <w:t>《</w:t>
      </w:r>
      <w:r>
        <w:rPr>
          <w:szCs w:val="21"/>
        </w:rPr>
        <w:t>学生餐营养指南</w:t>
      </w:r>
      <w:r>
        <w:rPr>
          <w:rFonts w:hint="eastAsia"/>
          <w:szCs w:val="21"/>
        </w:rPr>
        <w:t>》、《中国居民营养素参考摄入量（</w:t>
      </w:r>
      <w:r>
        <w:rPr>
          <w:rFonts w:hint="eastAsia"/>
          <w:szCs w:val="21"/>
        </w:rPr>
        <w:t>2013</w:t>
      </w:r>
      <w:r>
        <w:rPr>
          <w:rFonts w:hint="eastAsia"/>
          <w:szCs w:val="21"/>
        </w:rPr>
        <w:t>版）》和《中国居民膳食指南（</w:t>
      </w:r>
      <w:r>
        <w:rPr>
          <w:rFonts w:hint="eastAsia"/>
          <w:szCs w:val="21"/>
        </w:rPr>
        <w:t>2016</w:t>
      </w:r>
      <w:r>
        <w:rPr>
          <w:rFonts w:hint="eastAsia"/>
          <w:szCs w:val="21"/>
        </w:rPr>
        <w:t>）》、《中国学龄儿童膳食指南（</w:t>
      </w:r>
      <w:r>
        <w:rPr>
          <w:rFonts w:hint="eastAsia"/>
          <w:szCs w:val="21"/>
        </w:rPr>
        <w:t>2016</w:t>
      </w:r>
      <w:r>
        <w:rPr>
          <w:rFonts w:hint="eastAsia"/>
          <w:szCs w:val="21"/>
        </w:rPr>
        <w:t>）》以及</w:t>
      </w:r>
      <w:r>
        <w:rPr>
          <w:szCs w:val="21"/>
        </w:rPr>
        <w:t>DB 31/2023</w:t>
      </w:r>
      <w:r>
        <w:rPr>
          <w:rFonts w:hint="eastAsia"/>
          <w:szCs w:val="21"/>
        </w:rPr>
        <w:t>—</w:t>
      </w:r>
      <w:r>
        <w:rPr>
          <w:szCs w:val="21"/>
        </w:rPr>
        <w:t>2014</w:t>
      </w:r>
      <w:r>
        <w:rPr>
          <w:rFonts w:hint="eastAsia"/>
          <w:szCs w:val="21"/>
        </w:rPr>
        <w:t>《集体用餐配送膳食》、</w:t>
      </w:r>
      <w:r>
        <w:rPr>
          <w:szCs w:val="21"/>
        </w:rPr>
        <w:t>DBS 32/003—2014</w:t>
      </w:r>
      <w:r>
        <w:rPr>
          <w:rFonts w:hint="eastAsia"/>
          <w:szCs w:val="21"/>
        </w:rPr>
        <w:t>《集体用餐配送膳食》等法律、法规、规章、技术规范、标准都作为标准制订主要依据。美国的全国学校早餐和午餐营养标准计划（</w:t>
      </w:r>
      <w:r>
        <w:rPr>
          <w:szCs w:val="21"/>
        </w:rPr>
        <w:t>Nutrition Standards in the National School Lunch and School Breakfast Programs</w:t>
      </w:r>
      <w:r>
        <w:rPr>
          <w:rFonts w:hint="eastAsia"/>
          <w:szCs w:val="21"/>
        </w:rPr>
        <w:t>）、日本的《学校配餐营养管理》、英国的学校食物标准指导（</w:t>
      </w:r>
      <w:r>
        <w:rPr>
          <w:szCs w:val="21"/>
        </w:rPr>
        <w:t>School food standards guidance</w:t>
      </w:r>
      <w:r>
        <w:rPr>
          <w:rFonts w:hint="eastAsia"/>
          <w:szCs w:val="21"/>
        </w:rPr>
        <w:t>）、香港的《学生午膳营养指引》、《学生小食营养指引》也作为标准制订的参考。</w:t>
      </w:r>
    </w:p>
    <w:p w:rsidR="00634DD3" w:rsidRDefault="00634DD3">
      <w:pPr>
        <w:spacing w:beforeLines="50" w:before="120" w:afterLines="50" w:after="120"/>
        <w:rPr>
          <w:rFonts w:ascii="黑体" w:eastAsia="黑体" w:hAnsi="宋体" w:cs="Arial"/>
          <w:szCs w:val="21"/>
        </w:rPr>
      </w:pPr>
    </w:p>
    <w:p w:rsidR="00634DD3" w:rsidRDefault="00AD5673">
      <w:pPr>
        <w:spacing w:beforeLines="50" w:before="120" w:afterLines="50" w:after="120"/>
        <w:rPr>
          <w:rFonts w:ascii="黑体" w:eastAsia="黑体" w:hAnsi="宋体" w:cs="Arial"/>
          <w:szCs w:val="21"/>
        </w:rPr>
      </w:pPr>
      <w:r>
        <w:rPr>
          <w:rFonts w:ascii="黑体" w:eastAsia="黑体" w:hAnsi="宋体" w:cs="Arial" w:hint="eastAsia"/>
          <w:szCs w:val="21"/>
        </w:rPr>
        <w:t>四、其他</w:t>
      </w:r>
      <w:r>
        <w:rPr>
          <w:rFonts w:ascii="黑体" w:eastAsia="黑体" w:hAnsi="宋体" w:cs="Arial"/>
          <w:szCs w:val="21"/>
        </w:rPr>
        <w:t>需要说明的事项</w:t>
      </w:r>
    </w:p>
    <w:p w:rsidR="00634DD3" w:rsidRDefault="00AD5673">
      <w:pPr>
        <w:spacing w:beforeLines="50" w:before="120" w:afterLines="50" w:after="120"/>
        <w:ind w:firstLineChars="200" w:firstLine="420"/>
        <w:rPr>
          <w:rFonts w:ascii="宋体" w:hAnsi="宋体"/>
          <w:szCs w:val="21"/>
        </w:rPr>
      </w:pPr>
      <w:r>
        <w:rPr>
          <w:rFonts w:ascii="宋体" w:hAnsi="宋体" w:hint="eastAsia"/>
          <w:szCs w:val="21"/>
        </w:rPr>
        <w:t>无。</w:t>
      </w:r>
    </w:p>
    <w:p w:rsidR="00634DD3" w:rsidRDefault="00634DD3">
      <w:pPr>
        <w:spacing w:beforeLines="50" w:before="120" w:afterLines="50" w:after="120"/>
        <w:rPr>
          <w:rFonts w:ascii="黑体" w:eastAsia="黑体" w:hAnsi="Arial" w:cs="Arial"/>
          <w:szCs w:val="21"/>
        </w:rPr>
      </w:pPr>
    </w:p>
    <w:p w:rsidR="00634DD3" w:rsidRDefault="00634DD3">
      <w:pPr>
        <w:spacing w:line="360" w:lineRule="auto"/>
        <w:rPr>
          <w:color w:val="000000"/>
        </w:rPr>
      </w:pPr>
    </w:p>
    <w:p w:rsidR="00634DD3" w:rsidRDefault="00634DD3">
      <w:pPr>
        <w:rPr>
          <w:rFonts w:ascii="仿宋_GB2312" w:eastAsia="仿宋_GB2312" w:hAnsi="宋体"/>
          <w:color w:val="000000"/>
          <w:sz w:val="28"/>
          <w:szCs w:val="28"/>
        </w:rPr>
      </w:pPr>
    </w:p>
    <w:p w:rsidR="00634DD3" w:rsidRDefault="00634DD3"/>
    <w:sectPr w:rsidR="00634DD3">
      <w:footerReference w:type="even" r:id="rId9"/>
      <w:footerReference w:type="default" r:id="rId10"/>
      <w:pgSz w:w="11906" w:h="16838"/>
      <w:pgMar w:top="1440" w:right="1758" w:bottom="1440" w:left="1758"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EE7" w:rsidRDefault="00EF3EE7">
      <w:r>
        <w:separator/>
      </w:r>
    </w:p>
  </w:endnote>
  <w:endnote w:type="continuationSeparator" w:id="0">
    <w:p w:rsidR="00EF3EE7" w:rsidRDefault="00EF3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DD3" w:rsidRDefault="00AD5673">
    <w:pPr>
      <w:pStyle w:val="a6"/>
      <w:framePr w:wrap="around" w:vAnchor="text" w:hAnchor="margin" w:xAlign="center" w:y="1"/>
      <w:rPr>
        <w:rStyle w:val="a8"/>
      </w:rPr>
    </w:pPr>
    <w:r>
      <w:fldChar w:fldCharType="begin"/>
    </w:r>
    <w:r>
      <w:rPr>
        <w:rStyle w:val="a8"/>
      </w:rPr>
      <w:instrText xml:space="preserve">PAGE  </w:instrText>
    </w:r>
    <w:r>
      <w:fldChar w:fldCharType="end"/>
    </w:r>
  </w:p>
  <w:p w:rsidR="00634DD3" w:rsidRDefault="00634DD3">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DD3" w:rsidRDefault="00AD5673">
    <w:pPr>
      <w:pStyle w:val="a6"/>
      <w:framePr w:wrap="around" w:vAnchor="text" w:hAnchor="margin" w:xAlign="center" w:y="1"/>
      <w:rPr>
        <w:rStyle w:val="a8"/>
      </w:rPr>
    </w:pPr>
    <w:r>
      <w:fldChar w:fldCharType="begin"/>
    </w:r>
    <w:r>
      <w:rPr>
        <w:rStyle w:val="a8"/>
      </w:rPr>
      <w:instrText xml:space="preserve">PAGE  </w:instrText>
    </w:r>
    <w:r>
      <w:fldChar w:fldCharType="separate"/>
    </w:r>
    <w:r w:rsidR="001A6141">
      <w:rPr>
        <w:rStyle w:val="a8"/>
        <w:noProof/>
      </w:rPr>
      <w:t>1</w:t>
    </w:r>
    <w:r>
      <w:fldChar w:fldCharType="end"/>
    </w:r>
  </w:p>
  <w:p w:rsidR="00634DD3" w:rsidRDefault="00634DD3">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EE7" w:rsidRDefault="00EF3EE7">
      <w:r>
        <w:separator/>
      </w:r>
    </w:p>
  </w:footnote>
  <w:footnote w:type="continuationSeparator" w:id="0">
    <w:p w:rsidR="00EF3EE7" w:rsidRDefault="00EF3E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24527"/>
    <w:rsid w:val="00043219"/>
    <w:rsid w:val="00044CD0"/>
    <w:rsid w:val="00047B1A"/>
    <w:rsid w:val="00050755"/>
    <w:rsid w:val="00050A52"/>
    <w:rsid w:val="00053EFA"/>
    <w:rsid w:val="0007142B"/>
    <w:rsid w:val="00080F4F"/>
    <w:rsid w:val="000819B9"/>
    <w:rsid w:val="0009543B"/>
    <w:rsid w:val="000A4514"/>
    <w:rsid w:val="000A70FE"/>
    <w:rsid w:val="000D2AC8"/>
    <w:rsid w:val="000E708F"/>
    <w:rsid w:val="000F312B"/>
    <w:rsid w:val="000F4F61"/>
    <w:rsid w:val="00107EF1"/>
    <w:rsid w:val="0014096F"/>
    <w:rsid w:val="00165614"/>
    <w:rsid w:val="00166632"/>
    <w:rsid w:val="001668E1"/>
    <w:rsid w:val="00172A27"/>
    <w:rsid w:val="001768CA"/>
    <w:rsid w:val="00184701"/>
    <w:rsid w:val="00194E6D"/>
    <w:rsid w:val="001A0C87"/>
    <w:rsid w:val="001A6141"/>
    <w:rsid w:val="001B1940"/>
    <w:rsid w:val="001B65F3"/>
    <w:rsid w:val="001C268D"/>
    <w:rsid w:val="001E541E"/>
    <w:rsid w:val="001F0C40"/>
    <w:rsid w:val="001F22E0"/>
    <w:rsid w:val="001F4689"/>
    <w:rsid w:val="001F674A"/>
    <w:rsid w:val="00206F23"/>
    <w:rsid w:val="00207190"/>
    <w:rsid w:val="00222E05"/>
    <w:rsid w:val="00225B40"/>
    <w:rsid w:val="002436F1"/>
    <w:rsid w:val="00271C35"/>
    <w:rsid w:val="0028379A"/>
    <w:rsid w:val="00293DCA"/>
    <w:rsid w:val="00295D7D"/>
    <w:rsid w:val="002B5E05"/>
    <w:rsid w:val="002D772D"/>
    <w:rsid w:val="002E3E96"/>
    <w:rsid w:val="002F7CF6"/>
    <w:rsid w:val="003046A4"/>
    <w:rsid w:val="003139B9"/>
    <w:rsid w:val="00320BFD"/>
    <w:rsid w:val="00320F62"/>
    <w:rsid w:val="003361C2"/>
    <w:rsid w:val="00353E0D"/>
    <w:rsid w:val="00354270"/>
    <w:rsid w:val="0035708D"/>
    <w:rsid w:val="0035734B"/>
    <w:rsid w:val="00371357"/>
    <w:rsid w:val="003714FA"/>
    <w:rsid w:val="00371FE5"/>
    <w:rsid w:val="00376EC5"/>
    <w:rsid w:val="00390F52"/>
    <w:rsid w:val="00393ECD"/>
    <w:rsid w:val="003964C6"/>
    <w:rsid w:val="003A1B93"/>
    <w:rsid w:val="003A2B3D"/>
    <w:rsid w:val="003A2E6A"/>
    <w:rsid w:val="003A60CF"/>
    <w:rsid w:val="003B0B0E"/>
    <w:rsid w:val="003B68DC"/>
    <w:rsid w:val="003D5D3A"/>
    <w:rsid w:val="003E1560"/>
    <w:rsid w:val="003E4023"/>
    <w:rsid w:val="00401E04"/>
    <w:rsid w:val="00412DAB"/>
    <w:rsid w:val="00415139"/>
    <w:rsid w:val="004219D4"/>
    <w:rsid w:val="004263EE"/>
    <w:rsid w:val="00437B1F"/>
    <w:rsid w:val="0044214A"/>
    <w:rsid w:val="00462C13"/>
    <w:rsid w:val="00470585"/>
    <w:rsid w:val="00472FEA"/>
    <w:rsid w:val="004772D4"/>
    <w:rsid w:val="00484EDF"/>
    <w:rsid w:val="004850C1"/>
    <w:rsid w:val="004C4410"/>
    <w:rsid w:val="004F4A71"/>
    <w:rsid w:val="004F606C"/>
    <w:rsid w:val="005050B3"/>
    <w:rsid w:val="005056DC"/>
    <w:rsid w:val="00505FAC"/>
    <w:rsid w:val="005066F7"/>
    <w:rsid w:val="00525B26"/>
    <w:rsid w:val="005460AC"/>
    <w:rsid w:val="00554808"/>
    <w:rsid w:val="005812E5"/>
    <w:rsid w:val="00581383"/>
    <w:rsid w:val="005825FB"/>
    <w:rsid w:val="00586700"/>
    <w:rsid w:val="00587053"/>
    <w:rsid w:val="005A1A82"/>
    <w:rsid w:val="005A2638"/>
    <w:rsid w:val="005A54EE"/>
    <w:rsid w:val="005C08B5"/>
    <w:rsid w:val="005C53A9"/>
    <w:rsid w:val="005D01BE"/>
    <w:rsid w:val="005D0DD1"/>
    <w:rsid w:val="005F0DA7"/>
    <w:rsid w:val="005F510E"/>
    <w:rsid w:val="005F5242"/>
    <w:rsid w:val="006204A0"/>
    <w:rsid w:val="006249A4"/>
    <w:rsid w:val="00625C2B"/>
    <w:rsid w:val="00631FE3"/>
    <w:rsid w:val="00634DD3"/>
    <w:rsid w:val="006350F1"/>
    <w:rsid w:val="00635D27"/>
    <w:rsid w:val="00636A4F"/>
    <w:rsid w:val="006466E0"/>
    <w:rsid w:val="00652B46"/>
    <w:rsid w:val="006722F4"/>
    <w:rsid w:val="00691430"/>
    <w:rsid w:val="00695514"/>
    <w:rsid w:val="006A02F4"/>
    <w:rsid w:val="006B7DF0"/>
    <w:rsid w:val="006C379F"/>
    <w:rsid w:val="006C591E"/>
    <w:rsid w:val="006D628D"/>
    <w:rsid w:val="006D6EE5"/>
    <w:rsid w:val="006F2735"/>
    <w:rsid w:val="006F62BE"/>
    <w:rsid w:val="007013DC"/>
    <w:rsid w:val="00707F83"/>
    <w:rsid w:val="00713719"/>
    <w:rsid w:val="00720D2F"/>
    <w:rsid w:val="00734E30"/>
    <w:rsid w:val="00756CAD"/>
    <w:rsid w:val="0075747F"/>
    <w:rsid w:val="007830D2"/>
    <w:rsid w:val="00785555"/>
    <w:rsid w:val="00790C6C"/>
    <w:rsid w:val="007A75A3"/>
    <w:rsid w:val="007B06E1"/>
    <w:rsid w:val="007D3371"/>
    <w:rsid w:val="007F051E"/>
    <w:rsid w:val="007F236B"/>
    <w:rsid w:val="007F4C24"/>
    <w:rsid w:val="007F763A"/>
    <w:rsid w:val="007F7C7A"/>
    <w:rsid w:val="00815705"/>
    <w:rsid w:val="00830D4A"/>
    <w:rsid w:val="0086030F"/>
    <w:rsid w:val="008851F3"/>
    <w:rsid w:val="008A1E12"/>
    <w:rsid w:val="008A4DD0"/>
    <w:rsid w:val="008E47CE"/>
    <w:rsid w:val="008E5808"/>
    <w:rsid w:val="008F204A"/>
    <w:rsid w:val="008F5D16"/>
    <w:rsid w:val="0090018E"/>
    <w:rsid w:val="0094193B"/>
    <w:rsid w:val="00943016"/>
    <w:rsid w:val="009435DD"/>
    <w:rsid w:val="00943A79"/>
    <w:rsid w:val="00950088"/>
    <w:rsid w:val="0096198D"/>
    <w:rsid w:val="00961A9F"/>
    <w:rsid w:val="009718FC"/>
    <w:rsid w:val="009831B0"/>
    <w:rsid w:val="009960B4"/>
    <w:rsid w:val="009A6275"/>
    <w:rsid w:val="009C0D48"/>
    <w:rsid w:val="009C0FBB"/>
    <w:rsid w:val="009C5B0B"/>
    <w:rsid w:val="009E7B9A"/>
    <w:rsid w:val="009F1728"/>
    <w:rsid w:val="009F7D56"/>
    <w:rsid w:val="00A0531B"/>
    <w:rsid w:val="00A0577C"/>
    <w:rsid w:val="00A126A6"/>
    <w:rsid w:val="00A15DB4"/>
    <w:rsid w:val="00A301B9"/>
    <w:rsid w:val="00A31DDD"/>
    <w:rsid w:val="00A330D5"/>
    <w:rsid w:val="00A37138"/>
    <w:rsid w:val="00A414A8"/>
    <w:rsid w:val="00A41B0E"/>
    <w:rsid w:val="00A43544"/>
    <w:rsid w:val="00A518FA"/>
    <w:rsid w:val="00A60DDF"/>
    <w:rsid w:val="00A630E9"/>
    <w:rsid w:val="00A65C6A"/>
    <w:rsid w:val="00A82B10"/>
    <w:rsid w:val="00A87C85"/>
    <w:rsid w:val="00A93978"/>
    <w:rsid w:val="00A93B10"/>
    <w:rsid w:val="00A94BC4"/>
    <w:rsid w:val="00A97C57"/>
    <w:rsid w:val="00AB5B00"/>
    <w:rsid w:val="00AB7493"/>
    <w:rsid w:val="00AD2337"/>
    <w:rsid w:val="00AD47E2"/>
    <w:rsid w:val="00AD5673"/>
    <w:rsid w:val="00AD6262"/>
    <w:rsid w:val="00AE46F9"/>
    <w:rsid w:val="00AF1ADA"/>
    <w:rsid w:val="00AF6EBB"/>
    <w:rsid w:val="00B100DB"/>
    <w:rsid w:val="00B162F0"/>
    <w:rsid w:val="00B46BB4"/>
    <w:rsid w:val="00B479D5"/>
    <w:rsid w:val="00B56738"/>
    <w:rsid w:val="00B70863"/>
    <w:rsid w:val="00B8171A"/>
    <w:rsid w:val="00BB3D5D"/>
    <w:rsid w:val="00BC0490"/>
    <w:rsid w:val="00BD3A68"/>
    <w:rsid w:val="00BD4115"/>
    <w:rsid w:val="00BD5E4B"/>
    <w:rsid w:val="00BF06B2"/>
    <w:rsid w:val="00BF2486"/>
    <w:rsid w:val="00C01D90"/>
    <w:rsid w:val="00C0546B"/>
    <w:rsid w:val="00C10B89"/>
    <w:rsid w:val="00C16821"/>
    <w:rsid w:val="00C23304"/>
    <w:rsid w:val="00C329C9"/>
    <w:rsid w:val="00C42E56"/>
    <w:rsid w:val="00C658F2"/>
    <w:rsid w:val="00C836C4"/>
    <w:rsid w:val="00C91F12"/>
    <w:rsid w:val="00C93071"/>
    <w:rsid w:val="00CA2C2A"/>
    <w:rsid w:val="00CC2213"/>
    <w:rsid w:val="00CC55C3"/>
    <w:rsid w:val="00CC71A1"/>
    <w:rsid w:val="00CE379B"/>
    <w:rsid w:val="00CE6EDD"/>
    <w:rsid w:val="00CF07D2"/>
    <w:rsid w:val="00CF2BF8"/>
    <w:rsid w:val="00CF7FB0"/>
    <w:rsid w:val="00D17B6E"/>
    <w:rsid w:val="00D20215"/>
    <w:rsid w:val="00D26BA3"/>
    <w:rsid w:val="00D320CF"/>
    <w:rsid w:val="00D33098"/>
    <w:rsid w:val="00D3497B"/>
    <w:rsid w:val="00D416C7"/>
    <w:rsid w:val="00D44CF0"/>
    <w:rsid w:val="00D61C5E"/>
    <w:rsid w:val="00D6461E"/>
    <w:rsid w:val="00D84593"/>
    <w:rsid w:val="00D86B9C"/>
    <w:rsid w:val="00D9027C"/>
    <w:rsid w:val="00DE0372"/>
    <w:rsid w:val="00DE6449"/>
    <w:rsid w:val="00DF078B"/>
    <w:rsid w:val="00DF4E6E"/>
    <w:rsid w:val="00E1111B"/>
    <w:rsid w:val="00E153A1"/>
    <w:rsid w:val="00E15846"/>
    <w:rsid w:val="00E17AAB"/>
    <w:rsid w:val="00E21AF5"/>
    <w:rsid w:val="00E232B7"/>
    <w:rsid w:val="00E23416"/>
    <w:rsid w:val="00E31BF7"/>
    <w:rsid w:val="00E72053"/>
    <w:rsid w:val="00E8706A"/>
    <w:rsid w:val="00E902EB"/>
    <w:rsid w:val="00EA23B3"/>
    <w:rsid w:val="00EC165A"/>
    <w:rsid w:val="00ED640F"/>
    <w:rsid w:val="00EE0AB8"/>
    <w:rsid w:val="00EF3EE7"/>
    <w:rsid w:val="00F142BE"/>
    <w:rsid w:val="00F144C4"/>
    <w:rsid w:val="00F31BAE"/>
    <w:rsid w:val="00F3769C"/>
    <w:rsid w:val="00F476B4"/>
    <w:rsid w:val="00F5730B"/>
    <w:rsid w:val="00F630CD"/>
    <w:rsid w:val="00F63112"/>
    <w:rsid w:val="00F7009C"/>
    <w:rsid w:val="00F71DA9"/>
    <w:rsid w:val="00F72916"/>
    <w:rsid w:val="00F766D5"/>
    <w:rsid w:val="00F90ED1"/>
    <w:rsid w:val="00F94A8A"/>
    <w:rsid w:val="00F96C71"/>
    <w:rsid w:val="00FA3096"/>
    <w:rsid w:val="00FB5F72"/>
    <w:rsid w:val="00FD3ABE"/>
    <w:rsid w:val="38D01CBA"/>
    <w:rsid w:val="510F0542"/>
    <w:rsid w:val="650B480B"/>
    <w:rsid w:val="7C152DD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lsdException w:name="header" w:semiHidden="0" w:unhideWhenUsed="0" w:qFormat="1"/>
    <w:lsdException w:name="footer" w:semiHidden="0" w:unhideWhenUsed="0"/>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semiHidden="0" w:unhideWhenUsed="0"/>
    <w:lsdException w:name="Hyperlink" w:semiHidden="0" w:unhideWhenUsed="0"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3">
    <w:name w:val="heading 3"/>
    <w:basedOn w:val="a"/>
    <w:next w:val="a"/>
    <w:link w:val="3Char"/>
    <w:qFormat/>
    <w:pPr>
      <w:widowControl/>
      <w:spacing w:before="100" w:beforeAutospacing="1" w:after="100" w:afterAutospacing="1"/>
      <w:jc w:val="left"/>
      <w:outlineLvl w:val="2"/>
    </w:pPr>
    <w:rPr>
      <w:rFonts w:ascii="宋体" w:hAnsi="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bCs/>
    </w:rPr>
  </w:style>
  <w:style w:type="paragraph" w:styleId="a4">
    <w:name w:val="annotation text"/>
    <w:basedOn w:val="a"/>
    <w:link w:val="Char"/>
    <w:pPr>
      <w:jc w:val="left"/>
    </w:pPr>
  </w:style>
  <w:style w:type="paragraph" w:styleId="a5">
    <w:name w:val="Balloon Text"/>
    <w:basedOn w:val="a"/>
    <w:qFormat/>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pPr>
      <w:spacing w:after="120" w:line="480" w:lineRule="auto"/>
    </w:pPr>
  </w:style>
  <w:style w:type="character" w:styleId="a8">
    <w:name w:val="page number"/>
    <w:basedOn w:val="a0"/>
    <w:qFormat/>
  </w:style>
  <w:style w:type="character" w:styleId="a9">
    <w:name w:val="Emphasis"/>
    <w:uiPriority w:val="20"/>
    <w:qFormat/>
    <w:rPr>
      <w:i/>
      <w:iCs/>
    </w:rPr>
  </w:style>
  <w:style w:type="character" w:styleId="aa">
    <w:name w:val="Hyperlink"/>
    <w:qFormat/>
    <w:rPr>
      <w:color w:val="2C4C78"/>
      <w:u w:val="none"/>
    </w:rPr>
  </w:style>
  <w:style w:type="character" w:styleId="ab">
    <w:name w:val="annotation reference"/>
    <w:qFormat/>
    <w:rPr>
      <w:sz w:val="21"/>
      <w:szCs w:val="21"/>
    </w:rPr>
  </w:style>
  <w:style w:type="paragraph" w:customStyle="1" w:styleId="ac">
    <w:name w:val="封面一致性程度标识"/>
    <w:qFormat/>
    <w:pPr>
      <w:spacing w:before="440" w:line="400" w:lineRule="exact"/>
      <w:jc w:val="center"/>
    </w:pPr>
    <w:rPr>
      <w:rFonts w:ascii="宋体"/>
      <w:sz w:val="28"/>
    </w:rPr>
  </w:style>
  <w:style w:type="paragraph" w:customStyle="1" w:styleId="ad">
    <w:name w:val="前言、引言标题"/>
    <w:next w:val="a"/>
    <w:qFormat/>
    <w:pPr>
      <w:shd w:val="clear" w:color="FFFFFF" w:fill="FFFFFF"/>
      <w:spacing w:before="640" w:after="560"/>
      <w:jc w:val="center"/>
      <w:outlineLvl w:val="0"/>
    </w:pPr>
    <w:rPr>
      <w:rFonts w:ascii="黑体" w:eastAsia="黑体"/>
      <w:sz w:val="32"/>
    </w:rPr>
  </w:style>
  <w:style w:type="paragraph" w:customStyle="1" w:styleId="ae">
    <w:name w:val="二级条标题"/>
    <w:basedOn w:val="af"/>
    <w:next w:val="a"/>
    <w:pPr>
      <w:outlineLvl w:val="3"/>
    </w:pPr>
  </w:style>
  <w:style w:type="paragraph" w:customStyle="1" w:styleId="af">
    <w:name w:val="一级条标题"/>
    <w:next w:val="a"/>
    <w:pPr>
      <w:outlineLvl w:val="2"/>
    </w:pPr>
    <w:rPr>
      <w:rFonts w:eastAsia="黑体"/>
      <w:sz w:val="21"/>
    </w:rPr>
  </w:style>
  <w:style w:type="paragraph" w:customStyle="1" w:styleId="af0">
    <w:name w:val="五级条标题"/>
    <w:basedOn w:val="af1"/>
    <w:next w:val="a"/>
    <w:qFormat/>
    <w:pPr>
      <w:outlineLvl w:val="6"/>
    </w:pPr>
  </w:style>
  <w:style w:type="paragraph" w:customStyle="1" w:styleId="af1">
    <w:name w:val="四级条标题"/>
    <w:basedOn w:val="af2"/>
    <w:next w:val="a"/>
    <w:pPr>
      <w:outlineLvl w:val="5"/>
    </w:pPr>
  </w:style>
  <w:style w:type="paragraph" w:customStyle="1" w:styleId="af2">
    <w:name w:val="三级条标题"/>
    <w:basedOn w:val="ae"/>
    <w:next w:val="a"/>
    <w:pPr>
      <w:outlineLvl w:val="4"/>
    </w:pPr>
  </w:style>
  <w:style w:type="paragraph" w:customStyle="1" w:styleId="af3">
    <w:name w:val="附录五级条标题"/>
    <w:basedOn w:val="af4"/>
    <w:next w:val="a"/>
    <w:qFormat/>
    <w:pPr>
      <w:outlineLvl w:val="6"/>
    </w:pPr>
  </w:style>
  <w:style w:type="paragraph" w:customStyle="1" w:styleId="af4">
    <w:name w:val="附录四级条标题"/>
    <w:basedOn w:val="af5"/>
    <w:next w:val="a"/>
    <w:pPr>
      <w:outlineLvl w:val="5"/>
    </w:pPr>
  </w:style>
  <w:style w:type="paragraph" w:customStyle="1" w:styleId="af5">
    <w:name w:val="附录三级条标题"/>
    <w:basedOn w:val="af6"/>
    <w:next w:val="a"/>
    <w:pPr>
      <w:ind w:left="0"/>
      <w:outlineLvl w:val="4"/>
    </w:pPr>
  </w:style>
  <w:style w:type="paragraph" w:customStyle="1" w:styleId="af6">
    <w:name w:val="附录二级条标题"/>
    <w:basedOn w:val="af7"/>
    <w:next w:val="a"/>
    <w:pPr>
      <w:ind w:left="1050"/>
      <w:outlineLvl w:val="3"/>
    </w:pPr>
  </w:style>
  <w:style w:type="paragraph" w:customStyle="1" w:styleId="af7">
    <w:name w:val="附录一级条标题"/>
    <w:basedOn w:val="af8"/>
    <w:next w:val="a"/>
    <w:pPr>
      <w:autoSpaceDN w:val="0"/>
      <w:spacing w:beforeLines="0" w:afterLines="0"/>
      <w:outlineLvl w:val="2"/>
    </w:pPr>
  </w:style>
  <w:style w:type="paragraph" w:customStyle="1" w:styleId="af8">
    <w:name w:val="附录章标题"/>
    <w:next w:val="a"/>
    <w:pPr>
      <w:wordWrap w:val="0"/>
      <w:overflowPunct w:val="0"/>
      <w:autoSpaceDE w:val="0"/>
      <w:spacing w:beforeLines="50" w:afterLines="50"/>
      <w:ind w:left="210"/>
      <w:jc w:val="both"/>
      <w:textAlignment w:val="baseline"/>
      <w:outlineLvl w:val="1"/>
    </w:pPr>
    <w:rPr>
      <w:rFonts w:ascii="黑体" w:eastAsia="黑体"/>
      <w:kern w:val="21"/>
      <w:sz w:val="21"/>
    </w:rPr>
  </w:style>
  <w:style w:type="paragraph" w:customStyle="1" w:styleId="af9">
    <w:name w:val="目次、标准名称标题"/>
    <w:basedOn w:val="ad"/>
    <w:next w:val="a"/>
    <w:qFormat/>
    <w:pPr>
      <w:spacing w:line="460" w:lineRule="exact"/>
    </w:pPr>
  </w:style>
  <w:style w:type="paragraph" w:customStyle="1" w:styleId="Char0">
    <w:name w:val="Char"/>
    <w:basedOn w:val="a"/>
    <w:pPr>
      <w:spacing w:line="360" w:lineRule="auto"/>
      <w:ind w:firstLineChars="200" w:firstLine="480"/>
    </w:pPr>
  </w:style>
  <w:style w:type="paragraph" w:customStyle="1" w:styleId="afa">
    <w:name w:val="标准书脚_偶数页"/>
    <w:qFormat/>
    <w:pPr>
      <w:spacing w:before="120"/>
    </w:pPr>
    <w:rPr>
      <w:sz w:val="18"/>
    </w:rPr>
  </w:style>
  <w:style w:type="paragraph" w:customStyle="1" w:styleId="afb">
    <w:name w:val="附录标识"/>
    <w:basedOn w:val="ad"/>
    <w:pPr>
      <w:tabs>
        <w:tab w:val="left" w:pos="6405"/>
      </w:tabs>
      <w:spacing w:after="200"/>
      <w:ind w:left="4200"/>
    </w:pPr>
    <w:rPr>
      <w:sz w:val="21"/>
    </w:rPr>
  </w:style>
  <w:style w:type="paragraph" w:customStyle="1" w:styleId="afc">
    <w:name w:val="段"/>
    <w:link w:val="Char1"/>
    <w:pPr>
      <w:autoSpaceDE w:val="0"/>
      <w:autoSpaceDN w:val="0"/>
      <w:ind w:firstLineChars="200" w:firstLine="200"/>
      <w:jc w:val="both"/>
    </w:pPr>
    <w:rPr>
      <w:rFonts w:ascii="宋体"/>
      <w:sz w:val="21"/>
    </w:rPr>
  </w:style>
  <w:style w:type="paragraph" w:customStyle="1" w:styleId="afd">
    <w:name w:val="章标题"/>
    <w:next w:val="a"/>
    <w:pPr>
      <w:spacing w:beforeLines="50" w:afterLines="50"/>
      <w:jc w:val="both"/>
      <w:outlineLvl w:val="1"/>
    </w:pPr>
    <w:rPr>
      <w:rFonts w:ascii="黑体" w:eastAsia="黑体"/>
      <w:sz w:val="21"/>
    </w:rPr>
  </w:style>
  <w:style w:type="paragraph" w:customStyle="1" w:styleId="afe">
    <w:name w:val="标准书眉一"/>
    <w:pPr>
      <w:jc w:val="both"/>
    </w:pPr>
  </w:style>
  <w:style w:type="paragraph" w:customStyle="1" w:styleId="aff">
    <w:name w:val="封面标准英文名称"/>
    <w:pPr>
      <w:widowControl w:val="0"/>
      <w:spacing w:before="370" w:line="400" w:lineRule="exact"/>
      <w:jc w:val="center"/>
    </w:pPr>
    <w:rPr>
      <w:sz w:val="28"/>
    </w:rPr>
  </w:style>
  <w:style w:type="paragraph" w:customStyle="1" w:styleId="CharCharCharChar">
    <w:name w:val="Char Char Char Char"/>
    <w:basedOn w:val="a"/>
    <w:pPr>
      <w:widowControl/>
      <w:spacing w:after="160" w:line="240" w:lineRule="exact"/>
      <w:jc w:val="left"/>
    </w:pPr>
    <w:rPr>
      <w:rFonts w:ascii="Verdana" w:hAnsi="Verdana"/>
      <w:kern w:val="0"/>
      <w:sz w:val="20"/>
      <w:szCs w:val="20"/>
      <w:lang w:eastAsia="en-US"/>
    </w:rPr>
  </w:style>
  <w:style w:type="paragraph" w:customStyle="1" w:styleId="reader-word-layer">
    <w:name w:val="reader-word-layer"/>
    <w:basedOn w:val="a"/>
    <w:pPr>
      <w:widowControl/>
      <w:spacing w:before="100" w:beforeAutospacing="1" w:after="100" w:afterAutospacing="1"/>
      <w:jc w:val="left"/>
    </w:pPr>
    <w:rPr>
      <w:rFonts w:ascii="宋体" w:hAnsi="宋体" w:cs="宋体"/>
      <w:kern w:val="0"/>
      <w:sz w:val="24"/>
    </w:rPr>
  </w:style>
  <w:style w:type="paragraph" w:customStyle="1" w:styleId="aff0">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character" w:customStyle="1" w:styleId="3Char">
    <w:name w:val="标题 3 Char"/>
    <w:link w:val="3"/>
    <w:rPr>
      <w:rFonts w:ascii="宋体" w:hAnsi="宋体" w:cs="宋体"/>
      <w:b/>
      <w:bCs/>
      <w:sz w:val="27"/>
      <w:szCs w:val="27"/>
    </w:rPr>
  </w:style>
  <w:style w:type="character" w:customStyle="1" w:styleId="Char">
    <w:name w:val="批注文字 Char"/>
    <w:link w:val="a4"/>
    <w:rPr>
      <w:kern w:val="2"/>
      <w:sz w:val="21"/>
      <w:szCs w:val="24"/>
    </w:rPr>
  </w:style>
  <w:style w:type="character" w:customStyle="1" w:styleId="Char1">
    <w:name w:val="段 Char"/>
    <w:link w:val="afc"/>
    <w:rPr>
      <w:rFonts w:ascii="宋体"/>
      <w:sz w:val="21"/>
      <w:lang w:val="en-US" w:eastAsia="zh-CN" w:bidi="ar-SA"/>
    </w:rPr>
  </w:style>
  <w:style w:type="paragraph" w:styleId="aff1">
    <w:name w:val="List Paragraph"/>
    <w:basedOn w:val="a"/>
    <w:uiPriority w:val="34"/>
    <w:qFormat/>
    <w:pPr>
      <w:ind w:firstLineChars="200" w:firstLine="420"/>
    </w:pPr>
    <w:rPr>
      <w:rFonts w:ascii="Calibri" w:hAnsi="Calibri"/>
      <w:szCs w:val="22"/>
    </w:rPr>
  </w:style>
  <w:style w:type="character" w:customStyle="1" w:styleId="1Char">
    <w:name w:val="标题 1 Char"/>
    <w:basedOn w:val="a0"/>
    <w:link w:val="1"/>
    <w:rPr>
      <w:b/>
      <w:bCs/>
      <w:kern w:val="44"/>
      <w:sz w:val="44"/>
      <w:szCs w:val="44"/>
    </w:rPr>
  </w:style>
  <w:style w:type="paragraph" w:customStyle="1" w:styleId="10">
    <w:name w:val="修订1"/>
    <w:hidden/>
    <w:uiPriority w:val="99"/>
    <w:unhideWhenUse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CF8C4A-4593-4D32-9A38-6D064241F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834</Words>
  <Characters>902</Characters>
  <Application>Microsoft Office Word</Application>
  <DocSecurity>0</DocSecurity>
  <Lines>90</Lines>
  <Paragraphs>82</Paragraphs>
  <ScaleCrop>false</ScaleCrop>
  <Company>China</Company>
  <LinksUpToDate>false</LinksUpToDate>
  <CharactersWithSpaces>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user</dc:creator>
  <cp:lastModifiedBy>食品司,标准管理处,逄炯倩</cp:lastModifiedBy>
  <cp:revision>7</cp:revision>
  <dcterms:created xsi:type="dcterms:W3CDTF">2018-06-21T03:08:00Z</dcterms:created>
  <dcterms:modified xsi:type="dcterms:W3CDTF">2018-08-21T09:27:00Z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